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版本号：JZZB-【2026】-1620260522002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鄠邑校区科研教学2#楼项目初步设计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JZZB-【2026】-16</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鄠邑校区科研教学2#楼项目初步设计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鄠邑校区科研教学2#楼项目初步设计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科研教学2#楼，地上5层（局部3、4层），规划用地面积约21333.78㎡（约32亩），总建筑面积38800㎡，其中，地上建筑面积38500㎡，地下建筑面积300㎡。地上部分主要使用功能为教学用房、实验用房，层高4.5m，地下部分主要使用功能为设备用房，层高4.2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法定代表人身份证明/授权委托书：法定代表人/负责人直接参加的，只须递交《法定代表人/负责人身份证明》；法定代表人/负责人授权代表参加的，须递交《法定代表人/负责人授权书》，并提供被授权人自2025年12月以来至少一个月在本公司的社会保障资金缴纳证明；并进行电子签章。</w:t>
      </w:r>
    </w:p>
    <w:p>
      <w:pPr>
        <w:pStyle w:val="null3"/>
      </w:pPr>
      <w:r>
        <w:rPr>
          <w:rFonts w:ascii="仿宋_GB2312" w:hAnsi="仿宋_GB2312" w:cs="仿宋_GB2312" w:eastAsia="仿宋_GB2312"/>
        </w:rPr>
        <w:t>3、税收缴纳证明：提供自2025年12月以来至少一个月的纳税证明或完税证明，纳税证明或完税证明上应有代收机构或税务机关的公章或业务专用章；其他组织和自然人提供自2025年12月以来至少一个月缴纳税收的凭据；依法免税的供应商应提供相关文件证明；并进行电子签章。</w:t>
      </w:r>
    </w:p>
    <w:p>
      <w:pPr>
        <w:pStyle w:val="null3"/>
      </w:pPr>
      <w:r>
        <w:rPr>
          <w:rFonts w:ascii="仿宋_GB2312" w:hAnsi="仿宋_GB2312" w:cs="仿宋_GB2312" w:eastAsia="仿宋_GB2312"/>
        </w:rPr>
        <w:t>4、缴纳社会保障资金的证明：提供自2025年12月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5、无重大违法记录声明：供应商需提供《无重大违法记录声明》完成承诺；并进行电子签章。</w:t>
      </w:r>
    </w:p>
    <w:p>
      <w:pPr>
        <w:pStyle w:val="null3"/>
      </w:pPr>
      <w:r>
        <w:rPr>
          <w:rFonts w:ascii="仿宋_GB2312" w:hAnsi="仿宋_GB2312" w:cs="仿宋_GB2312" w:eastAsia="仿宋_GB2312"/>
        </w:rPr>
        <w:t>6、具有履行合同设备和专业技术能力：供应商需提供《具有履行合同所必需的设备和专业技术能力的承诺书》完成承诺；并进行电子签章。</w:t>
      </w:r>
    </w:p>
    <w:p>
      <w:pPr>
        <w:pStyle w:val="null3"/>
      </w:pPr>
      <w:r>
        <w:rPr>
          <w:rFonts w:ascii="仿宋_GB2312" w:hAnsi="仿宋_GB2312" w:cs="仿宋_GB2312" w:eastAsia="仿宋_GB2312"/>
        </w:rPr>
        <w:t>7、企业资质：供应商具备工程设计综合资质甲级，或建筑行业设计甲级及以上资质，或建筑行业（建筑工程）专业设计甲级及以上资质，并在人员、设备、资金等方面具备相应的设计能力；提供证书复印件；进行电子签章。</w:t>
      </w:r>
    </w:p>
    <w:p>
      <w:pPr>
        <w:pStyle w:val="null3"/>
      </w:pPr>
      <w:r>
        <w:rPr>
          <w:rFonts w:ascii="仿宋_GB2312" w:hAnsi="仿宋_GB2312" w:cs="仿宋_GB2312" w:eastAsia="仿宋_GB2312"/>
        </w:rPr>
        <w:t>8、项目负责人：供应商拟派项目负责人具备【一级注册建筑师】或【一级注册结构工程师】执业资格，并在本单位登记注册；提供证书复印件；进行电子签章。</w:t>
      </w:r>
    </w:p>
    <w:p>
      <w:pPr>
        <w:pStyle w:val="null3"/>
      </w:pPr>
      <w:r>
        <w:rPr>
          <w:rFonts w:ascii="仿宋_GB2312" w:hAnsi="仿宋_GB2312" w:cs="仿宋_GB2312" w:eastAsia="仿宋_GB2312"/>
        </w:rPr>
        <w:t>9、初步设计工作能力承诺书：供应商须具备完成海绵城市、再生水利用、节能专项设计、绿色建设设计、土建装配式等与项目报建有关的其他初步设计工作能力（提供承诺书）；进行电子签章。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 123 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高翠翠、张磊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15129916640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本采购包项目中标价为基数，按国家计委关于印发《招标代理服务收费管理暂行办法》的通知（计价格【2002】1980号）《国家发展改革委关于降低部分建设项目收费标准规范收费行为等有关问题的通知》（发改价格[2011]534号）规定的90%计取招标代理服务费。2、支付方式：成交供应商在领取通知书的同时，支付本项目代理服务费。 收款单位：陕西金泽盛业项目管理有限公司 开户行：北京银行股份有限公司西安大明宫支行 账号： 200000 430482 000331 80933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联系人：张磊</w:t>
      </w:r>
    </w:p>
    <w:p>
      <w:pPr>
        <w:pStyle w:val="null3"/>
      </w:pPr>
      <w:r>
        <w:rPr>
          <w:rFonts w:ascii="仿宋_GB2312" w:hAnsi="仿宋_GB2312" w:cs="仿宋_GB2312" w:eastAsia="仿宋_GB2312"/>
        </w:rPr>
        <w:t>联系电话：15129916640</w:t>
      </w:r>
    </w:p>
    <w:p>
      <w:pPr>
        <w:pStyle w:val="null3"/>
      </w:pPr>
      <w:r>
        <w:rPr>
          <w:rFonts w:ascii="仿宋_GB2312" w:hAnsi="仿宋_GB2312" w:cs="仿宋_GB2312" w:eastAsia="仿宋_GB2312"/>
        </w:rPr>
        <w:t>地址：西安市经济技术开发区凤城五路 123 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科研教学2#楼，地上5层（局部3、4层），规划用地面积约21333.78㎡（约32亩），总建筑面积38800㎡，其中，地上建筑面积38500㎡，地下建筑面积300㎡。地上部分主要使用功能为教学用房、实验用房，层高4.5m，地下部分主要使用功能为设备用房，层高4.2m。</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鄠邑校区科研教学2号楼项目初步设计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标的名称：鄠邑校区科研教学2号楼项目初步设计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依据西安石油大学鄠邑校区科研教学</w:t>
            </w:r>
            <w:r>
              <w:rPr>
                <w:rFonts w:ascii="仿宋_GB2312" w:hAnsi="仿宋_GB2312" w:cs="仿宋_GB2312" w:eastAsia="仿宋_GB2312"/>
                <w:sz w:val="24"/>
              </w:rPr>
              <w:t>2#楼项目概念性设计方案，完成以下设计服务工作：</w:t>
            </w:r>
          </w:p>
          <w:p>
            <w:pPr>
              <w:pStyle w:val="null3"/>
              <w:jc w:val="both"/>
            </w:pPr>
            <w:r>
              <w:rPr>
                <w:rFonts w:ascii="仿宋_GB2312" w:hAnsi="仿宋_GB2312" w:cs="仿宋_GB2312" w:eastAsia="仿宋_GB2312"/>
                <w:sz w:val="24"/>
              </w:rPr>
              <w:t>1.完成西安石油大学鄠邑校区科研教学2#楼项目的主体、安装及室外总体工程（含地下综合管沟等）初步设计，提供设计说明书、设计图纸、主要设备材料表和工程概算等，并通过政府有关部门的审批（含专家评审费）。</w:t>
            </w:r>
          </w:p>
          <w:p>
            <w:pPr>
              <w:pStyle w:val="null3"/>
              <w:jc w:val="both"/>
            </w:pPr>
            <w:r>
              <w:rPr>
                <w:rFonts w:ascii="仿宋_GB2312" w:hAnsi="仿宋_GB2312" w:cs="仿宋_GB2312" w:eastAsia="仿宋_GB2312"/>
                <w:sz w:val="24"/>
              </w:rPr>
              <w:t>2.完成项目报批所需如海绵城市、再生水利用、节能专项设计、绿色建设设计、土建装配式等与项目报建有关的其他初步设计工作，并通过专项评审（含专家评审费）。</w:t>
            </w:r>
          </w:p>
          <w:p>
            <w:pPr>
              <w:pStyle w:val="null3"/>
              <w:jc w:val="both"/>
            </w:pPr>
            <w:r>
              <w:rPr>
                <w:rFonts w:ascii="仿宋_GB2312" w:hAnsi="仿宋_GB2312" w:cs="仿宋_GB2312" w:eastAsia="仿宋_GB2312"/>
                <w:sz w:val="24"/>
              </w:rPr>
              <w:t>3.配合建设单位完成项目初步设计审批需要的专家评审汇报、论证、方案修订等工作。</w:t>
            </w:r>
          </w:p>
          <w:p>
            <w:pPr>
              <w:pStyle w:val="null3"/>
              <w:jc w:val="both"/>
            </w:pPr>
            <w:r>
              <w:rPr>
                <w:rFonts w:ascii="仿宋_GB2312" w:hAnsi="仿宋_GB2312" w:cs="仿宋_GB2312" w:eastAsia="仿宋_GB2312"/>
                <w:sz w:val="24"/>
              </w:rPr>
              <w:t>4.配合完成后期施工图设计，提供有关的技术支持工作。</w:t>
            </w:r>
          </w:p>
          <w:p>
            <w:pPr>
              <w:pStyle w:val="null3"/>
            </w:pPr>
            <w:r>
              <w:rPr>
                <w:rFonts w:ascii="仿宋_GB2312" w:hAnsi="仿宋_GB2312" w:cs="仿宋_GB2312" w:eastAsia="仿宋_GB2312"/>
                <w:sz w:val="24"/>
              </w:rPr>
              <w:t>5.上述未涉及的设计标准，执行国家及行业标准，省、市相关规定。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接到采购人通知后20天提交初设成果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鄠邑区丰京路560号，西安石油大学鄠邑校区北入口教学组团内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进度款，设计方案、初步设计提交并经发包人确认后支付合同总金额的，达到付款条件起10个工作日内，支付合同总金额的10.0%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进度款，初设成果通过审批后，达到付款条件起10个工作日内，支付合同总金额的50.0%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进度款，完成项目报批所需如海绵城市、再生水利用、节能专项设计、绿色建设设计、土建装配式等并通过审批，且资料归档后，达到付款条件起10个工作日内，支付合同总金额的35.0%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进度款，配合项目施工图设计单位完成并通过有关部门审查批准后，达到付款条件起10个工作日内，支付合同总金额的5.0%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发包人应按本合同第五条规定的金额和时间向设计人支付设计费，每逾期支付一天，应承担支付金额千分之一的逾期违约金。逾期超过30天以上时，设计人有权暂停履行下阶段工作，并书面通知发包人，发包人的上级或政府审批部门对设计文件不予审批的，设计人应配合发包人进行修改完善，直至通过审批；因设计人设计质量问题导致审批不通过的，设计人应承担相应责任，发包人不承担逾期付款的违约责任。 （2） 由于设计人员错误造成工程质量事故或发包人损失的，设计人除负责采取补救措施外，应退还已经支付的所有设计费外，向发包人支付10%的违约金，违约金不足以弥补发包人损失的，还应赔偿发包人因此遭受的全部损失（包括但不限于工程返工费用、加固修复费用、重新委托设计费用、工程延误损失、检测鉴定费、直接及及间接损失、赔偿金、违约金、诉讼费、仲裁费、鉴定费、保全费、保全担保费用、律师费等）。 （3） 由于设计人自身原因，延误了按本合同第四条规定的设计资料及设计文件的交付时间，每延误一天，应向发包人支付合同总价千分之一的违约金。延误超过15日的，发包人有权单方解除合同，设计人应退还已收取的全部设计费，并向发包人支付合同总价10%的违约金。违约金不足以弥补发包人损失的，应当承担全部赔偿责任。全部赔偿责任的范围包括但不限于直接损失、间接损失、赔偿金、违约金、诉讼费、仲裁费、鉴定费、保全费、保全担保费用、律师费等。 （4） 合同生效后，设计人要求终止或解除合同，设计人应退还已收取的全部设计费，并向发包人支付合同总价30%的违约金，违约金不足以弥补发包人损失的，应当承担全部赔偿责任。全部赔偿责任的范围包括但不限于直接损失、间接损失、赔偿金、违约金、诉讼费、仲裁费、鉴定费、保全费、保全担保费用、律师费等。同时协助发包人与后续承接设计单位完成工作交接。</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次报价是完成招标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磋商文件后则将被视为发包内容的全部费用已经包含在成交价内，设计人亦不得以任何理由在设计服务过程中要求增加费用。除合同另有约定外，对设计人提出的任何追加费用要求，发包人将不予考虑。 除本合同另有约定外，任何情况下不作调整(包括但不限于:不因投资的变更、市场变化、建筑面积的误差、工期调整等因素而进行任何调整)，发包人不再承担其它任何费用。 （2）申请付款时应开具增值税专用发票。 （3）以上每次支付款项前，设计人应先行提供符合发包人财务要求的发票，经发包人财务流程审批后按上述支付比例付款。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完整的2024年度或2025年度审计报告（成立时间至提交投标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自2025年12月以来至少一个月在本公司的社会保障资金缴纳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12月以来至少一个月的纳税证明或完税证明，纳税证明或完税证明上应有代收机构或税务机关的公章或业务专用章；其他组织和自然人提供自2025年12月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缴纳社会保障资金的证明</w:t>
            </w:r>
          </w:p>
        </w:tc>
        <w:tc>
          <w:tcPr>
            <w:tcW w:type="dxa" w:w="3322"/>
          </w:tcPr>
          <w:p>
            <w:pPr>
              <w:pStyle w:val="null3"/>
            </w:pPr>
            <w:r>
              <w:rPr>
                <w:rFonts w:ascii="仿宋_GB2312" w:hAnsi="仿宋_GB2312" w:cs="仿宋_GB2312" w:eastAsia="仿宋_GB2312"/>
              </w:rPr>
              <w:t>提供自2025年12月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供应商需提供《无重大违法记录声明》完成承诺；并进行电子签章。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供应商具备工程设计综合资质甲级，或建筑行业设计甲级及以上资质，或建筑行业（建筑工程）专业设计甲级及以上资质，并在人员、设备、资金等方面具备相应的设计能力；提供证书复印件；进行电子签章。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供应商拟派项目负责人具备【一级注册建筑师】或【一级注册结构工程师】执业资格，并在本单位登记注册；提供证书复印件；进行电子签章。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初步设计工作能力承诺书</w:t>
            </w:r>
          </w:p>
        </w:tc>
        <w:tc>
          <w:tcPr>
            <w:tcW w:type="dxa" w:w="3322"/>
          </w:tcPr>
          <w:p>
            <w:pPr>
              <w:pStyle w:val="null3"/>
            </w:pPr>
            <w:r>
              <w:rPr>
                <w:rFonts w:ascii="仿宋_GB2312" w:hAnsi="仿宋_GB2312" w:cs="仿宋_GB2312" w:eastAsia="仿宋_GB2312"/>
              </w:rPr>
              <w:t>供应商须具备完成海绵城市、再生水利用、节能专项设计、绿色建设设计、土建装配式等与项目报建有关的其他初步设计工作能力（提供承诺书）；进行电子签章。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响应文件封面 供应商应提交的相关资格证明材料 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服务商务要求响应</w:t>
            </w:r>
          </w:p>
        </w:tc>
        <w:tc>
          <w:tcPr>
            <w:tcW w:type="dxa" w:w="3322"/>
          </w:tcPr>
          <w:p>
            <w:pPr>
              <w:pStyle w:val="null3"/>
            </w:pPr>
            <w:r>
              <w:rPr>
                <w:rFonts w:ascii="仿宋_GB2312" w:hAnsi="仿宋_GB2312" w:cs="仿宋_GB2312" w:eastAsia="仿宋_GB2312"/>
              </w:rPr>
              <w:t>供应商必须满足采购文件的服务商务要求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技术评审1</w:t>
            </w:r>
          </w:p>
        </w:tc>
        <w:tc>
          <w:tcPr>
            <w:tcW w:type="dxa" w:w="2492"/>
          </w:tcPr>
          <w:p>
            <w:pPr>
              <w:pStyle w:val="null3"/>
            </w:pPr>
            <w:r>
              <w:rPr>
                <w:rFonts w:ascii="仿宋_GB2312" w:hAnsi="仿宋_GB2312" w:cs="仿宋_GB2312" w:eastAsia="仿宋_GB2312"/>
              </w:rPr>
              <w:t>（1）初步设计方案及效果图： 投标人根据项目实际需求，提供完整初步设计方案及效果图。方案内容包含但不限于： 1.设计范围、依据及目标：内容完整、依据充分、目标清晰可量化，与项目高度契合。 2.初步设计编制大纲：结构严谨、逻辑清晰，涵盖全部关键内容，优化思路明确。3.设计效果图：完整、美观、真实感强，充分体现设计意图。 4.专项布置分析：含室外给排水管网、强弱电管线、供热管网布置及走向；建筑周边景观生态布置；建筑功能用房空间布置及分析，方案科学合理、分析深入。5.专项合理化建议：在海绵城市、再生水利用、节能专项设计、绿色建筑设计、土建装配式等方面提出具体、贴合项目的建议。 评审标准：上述5项内容每完整响应1项得5分，满分25分。每项内容中，存在缺失缺陷1处扣1分，扣完为止。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技术评审2</w:t>
            </w:r>
          </w:p>
        </w:tc>
        <w:tc>
          <w:tcPr>
            <w:tcW w:type="dxa" w:w="2492"/>
          </w:tcPr>
          <w:p>
            <w:pPr>
              <w:pStyle w:val="null3"/>
            </w:pPr>
            <w:r>
              <w:rPr>
                <w:rFonts w:ascii="仿宋_GB2312" w:hAnsi="仿宋_GB2312" w:cs="仿宋_GB2312" w:eastAsia="仿宋_GB2312"/>
              </w:rPr>
              <w:t>（2）设计质量及保证措施： 投标人根据项目实际需求，提供设计质量及保证措施。内容包含但不限于：1.明确量化质量目标；2.完整控制流程；3.清晰关键节点及责任人。 评审标准：内容完整全面、按要求响应得满分3分。每有1项内容存在缺失缺陷，扣1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技术评审3</w:t>
            </w:r>
          </w:p>
        </w:tc>
        <w:tc>
          <w:tcPr>
            <w:tcW w:type="dxa" w:w="2492"/>
          </w:tcPr>
          <w:p>
            <w:pPr>
              <w:pStyle w:val="null3"/>
            </w:pPr>
            <w:r>
              <w:rPr>
                <w:rFonts w:ascii="仿宋_GB2312" w:hAnsi="仿宋_GB2312" w:cs="仿宋_GB2312" w:eastAsia="仿宋_GB2312"/>
              </w:rPr>
              <w:t>（3）设计进度安排及保障措施： 投标人根据项目实际需求，提供设计进度安排及保障措施。内容包含但不限于：1.科学合理的进度计划；2.清晰关键节点；3.具体可行的保障措施。 评审标准：内容完整全面、按要求响应得满分3分。每有1项内容存在缺失缺陷，扣1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技术评审4</w:t>
            </w:r>
          </w:p>
        </w:tc>
        <w:tc>
          <w:tcPr>
            <w:tcW w:type="dxa" w:w="2492"/>
          </w:tcPr>
          <w:p>
            <w:pPr>
              <w:pStyle w:val="null3"/>
            </w:pPr>
            <w:r>
              <w:rPr>
                <w:rFonts w:ascii="仿宋_GB2312" w:hAnsi="仿宋_GB2312" w:cs="仿宋_GB2312" w:eastAsia="仿宋_GB2312"/>
              </w:rPr>
              <w:t>（4）项目组织管理方案： 投标人根据项目实际需求，提供项目组织管理方案（含项目管理、人员岗位职责）。内容包含但不限于：1.清晰组织架构；2.明确职责分工；3.合理人员配置；4.完善管理流程。 评审标准：内容完整全面、按要求响应得满分 4 分。每有 1 项内容存在缺失缺陷，扣 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技术评审5</w:t>
            </w:r>
          </w:p>
        </w:tc>
        <w:tc>
          <w:tcPr>
            <w:tcW w:type="dxa" w:w="2492"/>
          </w:tcPr>
          <w:p>
            <w:pPr>
              <w:pStyle w:val="null3"/>
            </w:pPr>
            <w:r>
              <w:rPr>
                <w:rFonts w:ascii="仿宋_GB2312" w:hAnsi="仿宋_GB2312" w:cs="仿宋_GB2312" w:eastAsia="仿宋_GB2312"/>
              </w:rPr>
              <w:t>（5）针对本项目重难点的分析： 投标人根据项目实际需求，提供项目重难点分析及应对措施。内容包含但不限于：1.准确全面识别重难点；2.具体可行的应对措施。 评审标准：内容完整全面、按要求响应得满分 2 分。每有 1 项内容存在缺失缺陷，扣 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供应商针对本项目有明确的服务承诺： 投标人针对本项目提供明确服务承诺。内容包含但不限于：具体量化承诺内容、明确响应时间、服务方式、责任人、完善违约处理机制。 评审标准：内容完整全面、按要求响应得满分 2 分。承诺内容存在缺失缺陷，得 1 分；未提供不得分。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拟派项目负责人具备副高级及以上职称资格得2分。 评审依据：提供拟派人员的身份证、职称证书及最近连续六个月的社保缴纳证明，评审时以加盖投标人公章的证书复印件为准，未提供以上资料的相应人员不予认定和赋分。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拟派项目负责人业绩</w:t>
            </w:r>
          </w:p>
        </w:tc>
        <w:tc>
          <w:tcPr>
            <w:tcW w:type="dxa" w:w="2492"/>
          </w:tcPr>
          <w:p>
            <w:pPr>
              <w:pStyle w:val="null3"/>
            </w:pPr>
            <w:r>
              <w:rPr>
                <w:rFonts w:ascii="仿宋_GB2312" w:hAnsi="仿宋_GB2312" w:cs="仿宋_GB2312" w:eastAsia="仿宋_GB2312"/>
              </w:rPr>
              <w:t>提供拟派项目负责人近三年（2023年05月01日至投标截止时间）承接的公共建筑类似工程业绩。每提供1项类似公共建筑设计项目业绩的得1分，最多得3分。 评审依据：业绩证明材料以投标人所提供加盖公章的合同的复印件或扫描件为准或提供拟派本项目负责人业绩的支撑证明材料（例如甲方出具加盖公章的证明或设计合同中直接体现项目负责人姓名）。时间以合同签订时间为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拟派设计人员配备情况</w:t>
            </w:r>
          </w:p>
        </w:tc>
        <w:tc>
          <w:tcPr>
            <w:tcW w:type="dxa" w:w="2492"/>
          </w:tcPr>
          <w:p>
            <w:pPr>
              <w:pStyle w:val="null3"/>
            </w:pPr>
            <w:r>
              <w:rPr>
                <w:rFonts w:ascii="仿宋_GB2312" w:hAnsi="仿宋_GB2312" w:cs="仿宋_GB2312" w:eastAsia="仿宋_GB2312"/>
              </w:rPr>
              <w:t>各专业主要设计负责人：除项目负责人外团队成员至少包含 8 人，且必须满足建筑、结构、电气、暖通、给排水、风景园林、工程造价、工程咨询专业，每个专业各配 1 人及以上，不满足基本团队成员配置要求，本项不得分。（1）建筑专业负责人：具备副高级及以上职称资格且具有一级注册建筑师执业资格的，得 2分；其余不得分。 （2）结构专业负责人：具备副高级及以上职称资格且具有一级注册结构工程师执业资格的，得 2分；其余不得分。 （3）给排水专业负责人：具备副高级及以上职称资格且具有国家注册公用设备工程师执业资格的，得 2分；其余不得分。 （4）暖通专业负责人：具备副高级及以上职称资格且具有国家注册公用设备工程师执业资格的，得 2 分；其余不得分。 （5）电气专业负责人：具备副高级及以上职称资格且具有国家注册电气工程师执业资格的，得2分；其余不得分。 （6）风景园林专业负责人：具备副高级及以上职称资格的，得2分；其余不得分。 （7）工程造价专业负责人：具备副高级及以上职称资格且具有国家一级注册造价工程师执业资格的，得2分；其余不得分。 （8）工程咨询专业负责人：具备副高级及以上职称资格且具有国家注册咨询工程师执业资格的，得 2分；其余不得分。 评审依据：证明材料为学历证、注册证、职称证其他辅助证明。提供项目组织机构人员的学历证、注册证、职称证、其他辅助证明及最近连续六个月的社保缴纳证明。提供上述资料的复印件加盖单位公章附在投标文件中，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 年 05 月 01 日至投标截止时间）承接的公共建筑类似项目业绩。每提供1项类似项目业绩得1分，最多得5分。 评审依据：附合同复印件或扫描件并加盖投标人公章，时间以合同签订时间中体现的时间为准。企业业绩与项目负责人业绩不重复打分。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在降低建设成本等方面的合理化建议以及在合作期内的特色增值服务情况： 内容包含但不限于：提出科学可行、利于项目后期实施的降本增效措施；提供贴合项目需求、可落地执行的特色增值服务。 评审标准：内容完整全面、按要求响应得满分 5 分。每有 1 项内容存在缺失缺陷，扣 2.5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详见附件：西安石油大学鄠邑校区科研教学2#楼项目初步设计合同.docx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